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Light"/>
        <w:tblW w:w="9924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F6326" w:rsidTr="00F15481">
        <w:tc>
          <w:tcPr>
            <w:tcW w:w="4962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B87695" w:rsidRDefault="00F16E5C" w:rsidP="00074EE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Feasibility </w:t>
            </w:r>
            <w:r w:rsidR="00B611D1">
              <w:rPr>
                <w:rFonts w:ascii="Arial" w:hAnsi="Arial" w:cs="Arial"/>
              </w:rPr>
              <w:t>design for St Michael’s Street public realm, including surface levelling</w:t>
            </w:r>
          </w:p>
          <w:p w:rsidR="00744F53" w:rsidRPr="000C2BDD" w:rsidRDefault="00744F53" w:rsidP="00074EE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6F6326" w:rsidTr="00F15481">
        <w:tc>
          <w:tcPr>
            <w:tcW w:w="4962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4962" w:type="dxa"/>
          </w:tcPr>
          <w:p w:rsidR="00263039" w:rsidRPr="00A96C08" w:rsidRDefault="0044143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August</w:t>
            </w:r>
            <w:bookmarkStart w:id="0" w:name="_GoBack"/>
            <w:bookmarkEnd w:id="0"/>
            <w:r w:rsidR="00B611D1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F15481">
        <w:tc>
          <w:tcPr>
            <w:tcW w:w="4962" w:type="dxa"/>
          </w:tcPr>
          <w:p w:rsidR="00854133" w:rsidRPr="00854133" w:rsidRDefault="00854133" w:rsidP="00744F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4962" w:type="dxa"/>
          </w:tcPr>
          <w:p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</w:p>
          <w:p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under Part 4.4 of the Council’s Constitution:</w:t>
            </w:r>
          </w:p>
          <w:p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All exe</w:t>
            </w:r>
            <w:r w:rsidR="00744F53">
              <w:rPr>
                <w:rFonts w:ascii="Arial" w:hAnsi="Arial" w:cs="Arial"/>
              </w:rPr>
              <w:t>cutive functions except those</w:t>
            </w:r>
            <w:r w:rsidRPr="002F6557">
              <w:rPr>
                <w:rFonts w:ascii="Arial" w:hAnsi="Arial" w:cs="Arial"/>
              </w:rPr>
              <w:t xml:space="preserve"> in</w:t>
            </w:r>
          </w:p>
          <w:p w:rsidR="002F6557" w:rsidRPr="002F6557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Part</w:t>
            </w:r>
            <w:r w:rsidR="00744F53">
              <w:rPr>
                <w:rFonts w:ascii="Arial" w:hAnsi="Arial" w:cs="Arial"/>
              </w:rPr>
              <w:t>s</w:t>
            </w:r>
            <w:r w:rsidRPr="002F6557">
              <w:rPr>
                <w:rFonts w:ascii="Arial" w:hAnsi="Arial" w:cs="Arial"/>
              </w:rPr>
              <w:t xml:space="preserve"> 4.5 and 4.6 are delegated to the</w:t>
            </w:r>
          </w:p>
          <w:p w:rsidR="004A049B" w:rsidRDefault="002F6557" w:rsidP="002F6557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officers in the senior management structure.</w:t>
            </w:r>
          </w:p>
          <w:p w:rsidR="00744F53" w:rsidRPr="00E20A54" w:rsidRDefault="00744F53" w:rsidP="002F6557">
            <w:pPr>
              <w:rPr>
                <w:rFonts w:ascii="Arial" w:hAnsi="Arial" w:cs="Arial"/>
              </w:rPr>
            </w:pPr>
          </w:p>
        </w:tc>
      </w:tr>
      <w:tr w:rsidR="00B87695" w:rsidTr="00F15481">
        <w:tc>
          <w:tcPr>
            <w:tcW w:w="4962" w:type="dxa"/>
          </w:tcPr>
          <w:p w:rsidR="003B1236" w:rsidRPr="00B87695" w:rsidRDefault="00854133" w:rsidP="00744F5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1D1206" w:rsidRDefault="00B611D1" w:rsidP="00FF2C70">
            <w:pPr>
              <w:rPr>
                <w:rFonts w:ascii="Arial" w:hAnsi="Arial" w:cs="Arial"/>
              </w:rPr>
            </w:pPr>
            <w:r w:rsidRPr="00B611D1">
              <w:rPr>
                <w:rFonts w:ascii="Arial" w:hAnsi="Arial" w:cs="Arial"/>
              </w:rPr>
              <w:t xml:space="preserve">To commission LDA Design to lead a multidisciplinary team to </w:t>
            </w:r>
            <w:r w:rsidR="001D1206">
              <w:rPr>
                <w:rFonts w:ascii="Arial" w:hAnsi="Arial" w:cs="Arial"/>
              </w:rPr>
              <w:t>undertake design development,</w:t>
            </w:r>
            <w:r w:rsidRPr="00B611D1">
              <w:rPr>
                <w:rFonts w:ascii="Arial" w:hAnsi="Arial" w:cs="Arial"/>
              </w:rPr>
              <w:t xml:space="preserve"> engagement activities</w:t>
            </w:r>
            <w:r w:rsidR="001D1206">
              <w:rPr>
                <w:rFonts w:ascii="Arial" w:hAnsi="Arial" w:cs="Arial"/>
              </w:rPr>
              <w:t xml:space="preserve"> and</w:t>
            </w:r>
            <w:r w:rsidRPr="00B611D1">
              <w:rPr>
                <w:rFonts w:ascii="Arial" w:hAnsi="Arial" w:cs="Arial"/>
              </w:rPr>
              <w:t xml:space="preserve"> </w:t>
            </w:r>
            <w:r w:rsidR="001D1206" w:rsidRPr="001D1206">
              <w:rPr>
                <w:rFonts w:ascii="Arial" w:hAnsi="Arial" w:cs="Arial"/>
              </w:rPr>
              <w:t xml:space="preserve">full cost preparation for St Michael’s St </w:t>
            </w:r>
            <w:r w:rsidR="001D1206">
              <w:rPr>
                <w:rFonts w:ascii="Arial" w:hAnsi="Arial" w:cs="Arial"/>
              </w:rPr>
              <w:t xml:space="preserve">public realm </w:t>
            </w:r>
            <w:r w:rsidR="001D1206" w:rsidRPr="001D1206">
              <w:rPr>
                <w:rFonts w:ascii="Arial" w:hAnsi="Arial" w:cs="Arial"/>
              </w:rPr>
              <w:t>improvements</w:t>
            </w:r>
            <w:r w:rsidR="001D1206">
              <w:rPr>
                <w:rFonts w:ascii="Arial" w:hAnsi="Arial" w:cs="Arial"/>
              </w:rPr>
              <w:t>,</w:t>
            </w:r>
            <w:r w:rsidR="001D1206" w:rsidRPr="001D1206">
              <w:rPr>
                <w:rFonts w:ascii="Arial" w:hAnsi="Arial" w:cs="Arial"/>
              </w:rPr>
              <w:t xml:space="preserve"> including surface levelling.</w:t>
            </w:r>
            <w:r w:rsidR="001D1206">
              <w:rPr>
                <w:rFonts w:ascii="Arial" w:hAnsi="Arial" w:cs="Arial"/>
              </w:rPr>
              <w:t xml:space="preserve"> </w:t>
            </w:r>
          </w:p>
          <w:p w:rsidR="001D1206" w:rsidRDefault="001D1206" w:rsidP="00FF2C70">
            <w:pPr>
              <w:rPr>
                <w:rFonts w:ascii="Arial" w:hAnsi="Arial" w:cs="Arial"/>
              </w:rPr>
            </w:pPr>
          </w:p>
          <w:p w:rsidR="0088603F" w:rsidRDefault="0088603F" w:rsidP="00FF2C70">
            <w:pPr>
              <w:rPr>
                <w:rFonts w:ascii="Arial" w:hAnsi="Arial" w:cs="Arial"/>
              </w:rPr>
            </w:pPr>
            <w:r w:rsidRPr="00D845B3">
              <w:rPr>
                <w:rFonts w:ascii="Arial" w:hAnsi="Arial" w:cs="Arial"/>
              </w:rPr>
              <w:t>The commission budget is up to £30,000 and will be paid for from the</w:t>
            </w:r>
            <w:r w:rsidR="006311AC" w:rsidRPr="00D845B3">
              <w:rPr>
                <w:rFonts w:ascii="Arial" w:hAnsi="Arial" w:cs="Arial"/>
              </w:rPr>
              <w:t xml:space="preserve"> Council’s</w:t>
            </w:r>
            <w:r w:rsidRPr="00D845B3">
              <w:rPr>
                <w:rFonts w:ascii="Arial" w:hAnsi="Arial" w:cs="Arial"/>
              </w:rPr>
              <w:t xml:space="preserve"> </w:t>
            </w:r>
            <w:r w:rsidR="006311AC" w:rsidRPr="00D845B3">
              <w:rPr>
                <w:rFonts w:ascii="Arial" w:hAnsi="Arial" w:cs="Arial"/>
              </w:rPr>
              <w:t xml:space="preserve">strategic </w:t>
            </w:r>
            <w:r w:rsidRPr="00D845B3">
              <w:rPr>
                <w:rFonts w:ascii="Arial" w:hAnsi="Arial" w:cs="Arial"/>
              </w:rPr>
              <w:t xml:space="preserve">Community Infrastructure Levy </w:t>
            </w:r>
            <w:r w:rsidR="006311AC" w:rsidRPr="00D845B3">
              <w:rPr>
                <w:rFonts w:ascii="Arial" w:hAnsi="Arial" w:cs="Arial"/>
              </w:rPr>
              <w:t>pot</w:t>
            </w:r>
            <w:r w:rsidR="009443E2">
              <w:rPr>
                <w:rFonts w:ascii="Arial" w:hAnsi="Arial" w:cs="Arial"/>
              </w:rPr>
              <w:t>.</w:t>
            </w:r>
          </w:p>
          <w:p w:rsidR="00572BF5" w:rsidRPr="00A96C08" w:rsidRDefault="00572BF5" w:rsidP="007E56C0">
            <w:pPr>
              <w:rPr>
                <w:rFonts w:ascii="Arial" w:hAnsi="Arial" w:cs="Arial"/>
              </w:rPr>
            </w:pPr>
          </w:p>
        </w:tc>
      </w:tr>
      <w:tr w:rsidR="00373F5D" w:rsidTr="00F15481">
        <w:tc>
          <w:tcPr>
            <w:tcW w:w="4962" w:type="dxa"/>
          </w:tcPr>
          <w:p w:rsidR="00373F5D" w:rsidRPr="0088603F" w:rsidRDefault="00373F5D" w:rsidP="00744F53">
            <w:pPr>
              <w:spacing w:before="120" w:after="120"/>
              <w:rPr>
                <w:rFonts w:ascii="Arial" w:hAnsi="Arial" w:cs="Arial"/>
              </w:rPr>
            </w:pPr>
            <w:r w:rsidRPr="0088603F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4962" w:type="dxa"/>
          </w:tcPr>
          <w:p w:rsidR="00373F5D" w:rsidRPr="0088603F" w:rsidRDefault="00FF2C70" w:rsidP="006B62F3">
            <w:pPr>
              <w:rPr>
                <w:rFonts w:ascii="Arial" w:hAnsi="Arial" w:cs="Arial"/>
              </w:rPr>
            </w:pPr>
            <w:r w:rsidRPr="0088603F">
              <w:rPr>
                <w:rFonts w:ascii="Arial" w:hAnsi="Arial" w:cs="Arial"/>
              </w:rPr>
              <w:t xml:space="preserve">This decision enables </w:t>
            </w:r>
            <w:r w:rsidR="0088603F" w:rsidRPr="0088603F">
              <w:rPr>
                <w:rFonts w:ascii="Arial" w:hAnsi="Arial" w:cs="Arial"/>
              </w:rPr>
              <w:t>preparation</w:t>
            </w:r>
            <w:r w:rsidR="001432B8">
              <w:rPr>
                <w:rFonts w:ascii="Arial" w:hAnsi="Arial" w:cs="Arial"/>
              </w:rPr>
              <w:t xml:space="preserve"> work to be undertaken, which </w:t>
            </w:r>
            <w:r w:rsidR="0088603F">
              <w:rPr>
                <w:rFonts w:ascii="Arial" w:hAnsi="Arial" w:cs="Arial"/>
              </w:rPr>
              <w:t>will</w:t>
            </w:r>
            <w:r w:rsidR="0088603F" w:rsidRPr="0088603F">
              <w:rPr>
                <w:rFonts w:ascii="Arial" w:hAnsi="Arial" w:cs="Arial"/>
              </w:rPr>
              <w:t xml:space="preserve"> establish the </w:t>
            </w:r>
            <w:r w:rsidR="0088603F">
              <w:rPr>
                <w:rFonts w:ascii="Arial" w:hAnsi="Arial" w:cs="Arial"/>
              </w:rPr>
              <w:t xml:space="preserve">public realm opportunities </w:t>
            </w:r>
            <w:r w:rsidR="006311AC">
              <w:rPr>
                <w:rFonts w:ascii="Arial" w:hAnsi="Arial" w:cs="Arial"/>
              </w:rPr>
              <w:t>for St Michael’s Street. The council will then understand the costs and other practical issues to address in implementation</w:t>
            </w:r>
            <w:r w:rsidR="00A46FF9">
              <w:rPr>
                <w:rFonts w:ascii="Arial" w:hAnsi="Arial" w:cs="Arial"/>
              </w:rPr>
              <w:t>,</w:t>
            </w:r>
            <w:r w:rsidR="006311AC">
              <w:rPr>
                <w:rFonts w:ascii="Arial" w:hAnsi="Arial" w:cs="Arial"/>
              </w:rPr>
              <w:t xml:space="preserve"> </w:t>
            </w:r>
            <w:r w:rsidR="00F005B2">
              <w:rPr>
                <w:rFonts w:ascii="Arial" w:hAnsi="Arial" w:cs="Arial"/>
              </w:rPr>
              <w:t xml:space="preserve">with a view to implementing any approved scheme as soon as is practicable afterwards. </w:t>
            </w:r>
          </w:p>
          <w:p w:rsidR="00FF2C70" w:rsidRPr="0088603F" w:rsidRDefault="00FF2C70" w:rsidP="0038302A">
            <w:pPr>
              <w:rPr>
                <w:rFonts w:ascii="Arial" w:hAnsi="Arial" w:cs="Arial"/>
              </w:rPr>
            </w:pPr>
          </w:p>
        </w:tc>
      </w:tr>
      <w:tr w:rsidR="00DC2E8D" w:rsidTr="00F15481">
        <w:tc>
          <w:tcPr>
            <w:tcW w:w="4962" w:type="dxa"/>
          </w:tcPr>
          <w:p w:rsidR="00DC2E8D" w:rsidRPr="008E4629" w:rsidRDefault="008E4629" w:rsidP="00744F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4962" w:type="dxa"/>
          </w:tcPr>
          <w:p w:rsidR="00CB5E4F" w:rsidRDefault="006311AC" w:rsidP="00F16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Undertaking this feasibility work in 2022 is aligned with the recently agreed City Centre Action Plan, as it looks to</w:t>
            </w:r>
            <w:r w:rsidR="00A46FF9">
              <w:rPr>
                <w:rFonts w:ascii="Arial" w:hAnsi="Arial" w:cs="Arial"/>
              </w:rPr>
              <w:t xml:space="preserve"> support hospitality sector recovery and</w:t>
            </w:r>
            <w:r>
              <w:rPr>
                <w:rFonts w:ascii="Arial" w:hAnsi="Arial" w:cs="Arial"/>
              </w:rPr>
              <w:t xml:space="preserve"> </w:t>
            </w:r>
            <w:r w:rsidR="00D845B3">
              <w:rPr>
                <w:rFonts w:ascii="Arial" w:hAnsi="Arial" w:cs="Arial"/>
              </w:rPr>
              <w:t>improve the public realm.</w:t>
            </w:r>
            <w:r>
              <w:rPr>
                <w:rFonts w:ascii="Arial" w:hAnsi="Arial" w:cs="Arial"/>
              </w:rPr>
              <w:t xml:space="preserve"> </w:t>
            </w:r>
            <w:r w:rsidR="001D1206" w:rsidRPr="001D1206">
              <w:rPr>
                <w:rFonts w:ascii="Arial" w:hAnsi="Arial" w:cs="Arial"/>
              </w:rPr>
              <w:t xml:space="preserve">The Council ran an open tender process </w:t>
            </w:r>
            <w:r w:rsidR="00F16E5C">
              <w:rPr>
                <w:rFonts w:ascii="Arial" w:hAnsi="Arial" w:cs="Arial"/>
              </w:rPr>
              <w:t>from 27 June 2022</w:t>
            </w:r>
            <w:r w:rsidR="0088603F">
              <w:rPr>
                <w:rFonts w:ascii="Arial" w:hAnsi="Arial" w:cs="Arial"/>
              </w:rPr>
              <w:t xml:space="preserve"> </w:t>
            </w:r>
            <w:r w:rsidR="001D1206" w:rsidRPr="001D1206">
              <w:rPr>
                <w:rFonts w:ascii="Arial" w:hAnsi="Arial" w:cs="Arial"/>
              </w:rPr>
              <w:t xml:space="preserve">until </w:t>
            </w:r>
            <w:r w:rsidR="00F16E5C">
              <w:rPr>
                <w:rFonts w:ascii="Arial" w:hAnsi="Arial" w:cs="Arial"/>
              </w:rPr>
              <w:t>19 July 2022</w:t>
            </w:r>
            <w:r w:rsidR="001D1206" w:rsidRPr="001D1206">
              <w:rPr>
                <w:rFonts w:ascii="Arial" w:hAnsi="Arial" w:cs="Arial"/>
              </w:rPr>
              <w:t>. LDA Design’s proposal scored highest, based on</w:t>
            </w:r>
            <w:r w:rsidR="00F16E5C">
              <w:rPr>
                <w:rFonts w:ascii="Arial" w:hAnsi="Arial" w:cs="Arial"/>
              </w:rPr>
              <w:t xml:space="preserve"> price,</w:t>
            </w:r>
            <w:r w:rsidR="001D1206" w:rsidRPr="001D1206">
              <w:rPr>
                <w:rFonts w:ascii="Arial" w:hAnsi="Arial" w:cs="Arial"/>
              </w:rPr>
              <w:t xml:space="preserve"> their understanding of the brief, project team, proposed methodology and approach to social value.</w:t>
            </w:r>
            <w:r>
              <w:rPr>
                <w:rFonts w:ascii="Arial" w:hAnsi="Arial" w:cs="Arial"/>
              </w:rPr>
              <w:t xml:space="preserve"> </w:t>
            </w:r>
          </w:p>
          <w:p w:rsidR="002A5006" w:rsidRPr="001D1206" w:rsidRDefault="002A5006" w:rsidP="00F16E5C">
            <w:pPr>
              <w:rPr>
                <w:rFonts w:ascii="Arial" w:hAnsi="Arial" w:cs="Arial"/>
              </w:rPr>
            </w:pPr>
          </w:p>
        </w:tc>
      </w:tr>
      <w:tr w:rsidR="00B87695" w:rsidTr="00F15481">
        <w:tc>
          <w:tcPr>
            <w:tcW w:w="4962" w:type="dxa"/>
          </w:tcPr>
          <w:p w:rsidR="00B87695" w:rsidRPr="00B87695" w:rsidRDefault="00B87695" w:rsidP="00744F5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4962" w:type="dxa"/>
          </w:tcPr>
          <w:p w:rsidR="004803B5" w:rsidRDefault="00987C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</w:p>
          <w:p w:rsidR="00987C4B" w:rsidRDefault="00987C4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Regeneration &amp; Economy</w:t>
            </w:r>
          </w:p>
          <w:p w:rsidR="00744F53" w:rsidRPr="00A96C08" w:rsidRDefault="00744F53" w:rsidP="008A22C6">
            <w:pPr>
              <w:rPr>
                <w:rFonts w:ascii="Arial" w:hAnsi="Arial" w:cs="Arial"/>
              </w:rPr>
            </w:pPr>
          </w:p>
        </w:tc>
      </w:tr>
      <w:tr w:rsidR="006F6326" w:rsidTr="00F15481">
        <w:tc>
          <w:tcPr>
            <w:tcW w:w="4962" w:type="dxa"/>
          </w:tcPr>
          <w:p w:rsidR="006F6326" w:rsidRDefault="006F6326" w:rsidP="00744F5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4803B5" w:rsidRDefault="002A5006" w:rsidP="002A5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to procure feasibility design work – rejected due to the poor surface condition and restrictive layout of St Michael’s street and consequently the restrictions this places </w:t>
            </w:r>
            <w:r>
              <w:rPr>
                <w:rFonts w:ascii="Arial" w:hAnsi="Arial" w:cs="Arial"/>
              </w:rPr>
              <w:lastRenderedPageBreak/>
              <w:t xml:space="preserve">on accessibility and public realm improvements. </w:t>
            </w:r>
          </w:p>
          <w:p w:rsidR="006311AC" w:rsidRDefault="006311AC" w:rsidP="002A5006">
            <w:pPr>
              <w:rPr>
                <w:rFonts w:ascii="Arial" w:hAnsi="Arial" w:cs="Arial"/>
              </w:rPr>
            </w:pPr>
          </w:p>
          <w:p w:rsidR="006311AC" w:rsidRDefault="006311AC" w:rsidP="0063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other bids were submitted. Proceeding with any of the other bids would not have achieved best value for money for the council. </w:t>
            </w:r>
          </w:p>
          <w:p w:rsidR="00744F53" w:rsidRPr="00A96C08" w:rsidRDefault="00744F53" w:rsidP="006311AC">
            <w:pPr>
              <w:rPr>
                <w:rFonts w:ascii="Arial" w:hAnsi="Arial" w:cs="Arial"/>
              </w:rPr>
            </w:pPr>
          </w:p>
        </w:tc>
      </w:tr>
      <w:tr w:rsidR="006F6326" w:rsidTr="00F15481">
        <w:trPr>
          <w:trHeight w:val="1018"/>
        </w:trPr>
        <w:tc>
          <w:tcPr>
            <w:tcW w:w="4962" w:type="dxa"/>
          </w:tcPr>
          <w:p w:rsidR="00C678ED" w:rsidRPr="00C678ED" w:rsidRDefault="006F6326" w:rsidP="00744F5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744F5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:rsidTr="00F15481">
        <w:tc>
          <w:tcPr>
            <w:tcW w:w="4962" w:type="dxa"/>
          </w:tcPr>
          <w:p w:rsidR="003505E0" w:rsidRDefault="003505E0" w:rsidP="00744F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:rsidTr="00F15481">
        <w:tc>
          <w:tcPr>
            <w:tcW w:w="4962" w:type="dxa"/>
          </w:tcPr>
          <w:p w:rsidR="006F6326" w:rsidRPr="008E4629" w:rsidRDefault="006F6326" w:rsidP="00744F5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2A5006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Carfax and Jericho</w:t>
            </w:r>
          </w:p>
        </w:tc>
      </w:tr>
      <w:tr w:rsidR="006F6326" w:rsidTr="00F15481">
        <w:tc>
          <w:tcPr>
            <w:tcW w:w="4962" w:type="dxa"/>
          </w:tcPr>
          <w:p w:rsidR="006F6326" w:rsidRPr="006F6326" w:rsidRDefault="006F6326" w:rsidP="00744F5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2" w:type="dxa"/>
          </w:tcPr>
          <w:p w:rsidR="006F6326" w:rsidRPr="00A96C08" w:rsidRDefault="0005697B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87695" w:rsidTr="00F15481">
        <w:tc>
          <w:tcPr>
            <w:tcW w:w="4962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2" w:type="dxa"/>
          </w:tcPr>
          <w:p w:rsidR="004A049B" w:rsidRDefault="00543F9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 Norvell</w:t>
            </w:r>
          </w:p>
          <w:p w:rsidR="0005697B" w:rsidRDefault="005145A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</w:t>
            </w:r>
            <w:r w:rsidR="00543F9E">
              <w:rPr>
                <w:rFonts w:ascii="Arial" w:hAnsi="Arial" w:cs="Arial"/>
              </w:rPr>
              <w:t>Regeneration Officer</w:t>
            </w:r>
          </w:p>
          <w:p w:rsidR="0005697B" w:rsidRPr="00A96C08" w:rsidRDefault="002A5006" w:rsidP="00987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August</w:t>
            </w:r>
            <w:r w:rsidR="00543F9E">
              <w:rPr>
                <w:rFonts w:ascii="Arial" w:hAnsi="Arial" w:cs="Arial"/>
              </w:rPr>
              <w:t xml:space="preserve"> 2022</w:t>
            </w:r>
          </w:p>
        </w:tc>
      </w:tr>
    </w:tbl>
    <w:p w:rsidR="006F6326" w:rsidRDefault="006F6326" w:rsidP="008A22C6"/>
    <w:p w:rsidR="002611EB" w:rsidRDefault="002611EB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DD4885" w:rsidRDefault="00DD4885" w:rsidP="002611EB">
      <w:pPr>
        <w:rPr>
          <w:rFonts w:ascii="Arial" w:hAnsi="Arial" w:cs="Arial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DD4885" w:rsidRPr="00A96C08" w:rsidTr="00405321">
        <w:trPr>
          <w:trHeight w:val="516"/>
        </w:trPr>
        <w:tc>
          <w:tcPr>
            <w:tcW w:w="3828" w:type="dxa"/>
          </w:tcPr>
          <w:p w:rsidR="00DD4885" w:rsidRPr="00CD4BC9" w:rsidRDefault="00CD4BC9" w:rsidP="00F8398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DD4885" w:rsidRPr="00CD4BC9" w:rsidRDefault="00DD4885" w:rsidP="00DD4885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744F53">
        <w:trPr>
          <w:trHeight w:val="516"/>
        </w:trPr>
        <w:tc>
          <w:tcPr>
            <w:tcW w:w="3828" w:type="dxa"/>
          </w:tcPr>
          <w:p w:rsidR="00DD4885" w:rsidRPr="00BF240D" w:rsidRDefault="00744F53" w:rsidP="00744F5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Decision maker</w:t>
            </w:r>
          </w:p>
        </w:tc>
        <w:tc>
          <w:tcPr>
            <w:tcW w:w="4111" w:type="dxa"/>
            <w:vAlign w:val="center"/>
          </w:tcPr>
          <w:p w:rsidR="00DD4885" w:rsidRDefault="00B177A9" w:rsidP="00B1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Ploszynski </w:t>
            </w:r>
            <w:r w:rsidR="00EF5FCC">
              <w:rPr>
                <w:rFonts w:ascii="Arial" w:hAnsi="Arial" w:cs="Arial"/>
              </w:rPr>
              <w:t xml:space="preserve"> Head of </w:t>
            </w:r>
            <w:r>
              <w:rPr>
                <w:rFonts w:ascii="Arial" w:hAnsi="Arial" w:cs="Arial"/>
              </w:rPr>
              <w:t>Regeneration and Economy</w:t>
            </w:r>
          </w:p>
          <w:p w:rsidR="00744F53" w:rsidRDefault="00744F53" w:rsidP="00B177A9">
            <w:pPr>
              <w:rPr>
                <w:rFonts w:ascii="Arial" w:hAnsi="Arial" w:cs="Arial"/>
              </w:rPr>
            </w:pPr>
          </w:p>
          <w:p w:rsidR="00744F53" w:rsidRDefault="00744F53" w:rsidP="00B177A9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drawing>
                <wp:inline distT="0" distB="0" distL="0" distR="0" wp14:anchorId="7CE56307" wp14:editId="0714F4C3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F53" w:rsidRPr="00A96C08" w:rsidRDefault="00744F53" w:rsidP="00B177A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D4885" w:rsidRPr="00A96C08" w:rsidRDefault="0044143E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9B4EA5">
              <w:rPr>
                <w:rFonts w:ascii="Arial" w:hAnsi="Arial" w:cs="Arial"/>
              </w:rPr>
              <w:t>/08/22</w:t>
            </w:r>
          </w:p>
        </w:tc>
      </w:tr>
    </w:tbl>
    <w:p w:rsidR="00656A4E" w:rsidRDefault="00656A4E"/>
    <w:p w:rsidR="00656A4E" w:rsidRPr="00656A4E" w:rsidRDefault="00656A4E">
      <w:pPr>
        <w:rPr>
          <w:rFonts w:ascii="Arial" w:hAnsi="Arial" w:cs="Arial"/>
          <w:b/>
        </w:rPr>
      </w:pPr>
      <w:r w:rsidRPr="00656A4E">
        <w:rPr>
          <w:rFonts w:ascii="Arial" w:hAnsi="Arial" w:cs="Arial"/>
          <w:b/>
        </w:rPr>
        <w:t>Consultee checklist</w:t>
      </w:r>
    </w:p>
    <w:p w:rsidR="00656A4E" w:rsidRDefault="00656A4E"/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111"/>
        <w:gridCol w:w="1984"/>
      </w:tblGrid>
      <w:tr w:rsidR="00656A4E" w:rsidRPr="00A96C08" w:rsidTr="00F7482C">
        <w:trPr>
          <w:trHeight w:val="111"/>
        </w:trPr>
        <w:tc>
          <w:tcPr>
            <w:tcW w:w="3828" w:type="dxa"/>
          </w:tcPr>
          <w:p w:rsidR="00656A4E" w:rsidRPr="00CD4BC9" w:rsidRDefault="00656A4E" w:rsidP="00656A4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111" w:type="dxa"/>
            <w:vAlign w:val="center"/>
          </w:tcPr>
          <w:p w:rsidR="00656A4E" w:rsidRPr="00CD4BC9" w:rsidRDefault="00656A4E" w:rsidP="00656A4E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656A4E" w:rsidRPr="00CD4BC9" w:rsidRDefault="00656A4E" w:rsidP="00656A4E">
            <w:pPr>
              <w:rPr>
                <w:rFonts w:ascii="Arial" w:hAnsi="Arial" w:cs="Arial"/>
                <w:b/>
                <w:i/>
              </w:rPr>
            </w:pPr>
            <w:r w:rsidRPr="00CD4BC9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DD4885" w:rsidRPr="00A96C08" w:rsidTr="00BF240D">
        <w:trPr>
          <w:trHeight w:val="562"/>
        </w:trPr>
        <w:tc>
          <w:tcPr>
            <w:tcW w:w="3828" w:type="dxa"/>
            <w:vAlign w:val="center"/>
          </w:tcPr>
          <w:p w:rsidR="00DD4885" w:rsidRPr="00405321" w:rsidRDefault="00DD4885" w:rsidP="00744F53">
            <w:pPr>
              <w:spacing w:before="120" w:after="120"/>
              <w:rPr>
                <w:rFonts w:ascii="Arial" w:hAnsi="Arial" w:cs="Arial"/>
                <w:b/>
              </w:rPr>
            </w:pPr>
            <w:r w:rsidRPr="00405321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4111" w:type="dxa"/>
            <w:vAlign w:val="center"/>
          </w:tcPr>
          <w:p w:rsidR="00DD4885" w:rsidRDefault="006311AC" w:rsidP="0054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Imogen Thomas</w:t>
            </w:r>
            <w:r w:rsidR="00744F53">
              <w:rPr>
                <w:rFonts w:ascii="Arial" w:hAnsi="Arial" w:cs="Arial"/>
              </w:rPr>
              <w:t>, Cabinet Member for Zero Carbon Oxford and Climate Justice</w:t>
            </w:r>
          </w:p>
          <w:p w:rsidR="00744F53" w:rsidRPr="00A96C08" w:rsidRDefault="00744F53" w:rsidP="00543F9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1925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02/08/22</w:t>
            </w:r>
          </w:p>
        </w:tc>
      </w:tr>
      <w:tr w:rsidR="00DD4885" w:rsidRPr="00A96C08" w:rsidTr="00BF240D">
        <w:trPr>
          <w:trHeight w:val="516"/>
        </w:trPr>
        <w:tc>
          <w:tcPr>
            <w:tcW w:w="3828" w:type="dxa"/>
            <w:vAlign w:val="center"/>
          </w:tcPr>
          <w:p w:rsidR="00DD4885" w:rsidRPr="00405321" w:rsidRDefault="00DD4885" w:rsidP="00744F53">
            <w:pPr>
              <w:spacing w:before="120" w:after="120"/>
              <w:rPr>
                <w:rFonts w:ascii="Arial" w:hAnsi="Arial" w:cs="Arial"/>
              </w:rPr>
            </w:pPr>
            <w:r w:rsidRPr="00405321">
              <w:rPr>
                <w:rFonts w:ascii="Arial" w:hAnsi="Arial" w:cs="Arial"/>
                <w:b/>
              </w:rPr>
              <w:t>Ward Member</w:t>
            </w:r>
            <w:r w:rsidR="00744F53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111" w:type="dxa"/>
            <w:vAlign w:val="center"/>
          </w:tcPr>
          <w:p w:rsidR="00DD4885" w:rsidRDefault="00A5438A" w:rsidP="006311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r w:rsidR="006311AC">
              <w:rPr>
                <w:rFonts w:ascii="Arial" w:hAnsi="Arial" w:cs="Arial"/>
              </w:rPr>
              <w:t xml:space="preserve">Alex </w:t>
            </w:r>
            <w:r>
              <w:rPr>
                <w:rFonts w:ascii="Arial" w:hAnsi="Arial" w:cs="Arial"/>
              </w:rPr>
              <w:t xml:space="preserve">Hollingsworth </w:t>
            </w:r>
            <w:r w:rsidR="006311AC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Cllr</w:t>
            </w:r>
            <w:r w:rsidR="0095667E">
              <w:rPr>
                <w:rFonts w:ascii="Arial" w:hAnsi="Arial" w:cs="Arial"/>
              </w:rPr>
              <w:t xml:space="preserve"> </w:t>
            </w:r>
            <w:r w:rsidR="006311AC">
              <w:rPr>
                <w:rFonts w:ascii="Arial" w:hAnsi="Arial" w:cs="Arial"/>
              </w:rPr>
              <w:t xml:space="preserve">Lizzy </w:t>
            </w:r>
            <w:r w:rsidR="0095667E">
              <w:rPr>
                <w:rFonts w:ascii="Arial" w:hAnsi="Arial" w:cs="Arial"/>
              </w:rPr>
              <w:t>Diggins</w:t>
            </w:r>
            <w:r w:rsidR="00656A4E">
              <w:rPr>
                <w:rFonts w:ascii="Arial" w:hAnsi="Arial" w:cs="Arial"/>
              </w:rPr>
              <w:t xml:space="preserve"> (Carfax &amp; Jericho)</w:t>
            </w:r>
          </w:p>
          <w:p w:rsidR="00744F53" w:rsidRPr="00A96C08" w:rsidRDefault="00744F53" w:rsidP="006311A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DD4885" w:rsidRPr="00A96C08" w:rsidRDefault="001925C2" w:rsidP="00DD4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03/08/22</w:t>
            </w:r>
          </w:p>
        </w:tc>
      </w:tr>
    </w:tbl>
    <w:p w:rsidR="008E4629" w:rsidRDefault="008E4629" w:rsidP="002611EB">
      <w:pPr>
        <w:rPr>
          <w:rFonts w:ascii="Arial" w:hAnsi="Arial" w:cs="Arial"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9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C6" w:rsidRDefault="00DF64C6" w:rsidP="00F11FD1">
      <w:r>
        <w:separator/>
      </w:r>
    </w:p>
  </w:endnote>
  <w:endnote w:type="continuationSeparator" w:id="0">
    <w:p w:rsidR="00DF64C6" w:rsidRDefault="00DF64C6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C6" w:rsidRDefault="00DF64C6" w:rsidP="00F11FD1">
      <w:r>
        <w:separator/>
      </w:r>
    </w:p>
  </w:footnote>
  <w:footnote w:type="continuationSeparator" w:id="0">
    <w:p w:rsidR="00DF64C6" w:rsidRDefault="00DF64C6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14AF7"/>
    <w:multiLevelType w:val="hybridMultilevel"/>
    <w:tmpl w:val="F698A984"/>
    <w:lvl w:ilvl="0" w:tplc="BC3CBA1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0C4A"/>
    <w:rsid w:val="000445D4"/>
    <w:rsid w:val="0005697B"/>
    <w:rsid w:val="0005774E"/>
    <w:rsid w:val="00074EE5"/>
    <w:rsid w:val="0008133A"/>
    <w:rsid w:val="000B4310"/>
    <w:rsid w:val="000C2BDD"/>
    <w:rsid w:val="000F4239"/>
    <w:rsid w:val="001176FC"/>
    <w:rsid w:val="001432B8"/>
    <w:rsid w:val="001925C2"/>
    <w:rsid w:val="001D1206"/>
    <w:rsid w:val="00231385"/>
    <w:rsid w:val="00247466"/>
    <w:rsid w:val="002611EB"/>
    <w:rsid w:val="00263039"/>
    <w:rsid w:val="002A07C9"/>
    <w:rsid w:val="002A5006"/>
    <w:rsid w:val="002B53D4"/>
    <w:rsid w:val="002E61DD"/>
    <w:rsid w:val="002F6557"/>
    <w:rsid w:val="00335A9B"/>
    <w:rsid w:val="003505E0"/>
    <w:rsid w:val="003547CD"/>
    <w:rsid w:val="00373F5D"/>
    <w:rsid w:val="0038302A"/>
    <w:rsid w:val="003B1236"/>
    <w:rsid w:val="003B744C"/>
    <w:rsid w:val="004000D7"/>
    <w:rsid w:val="00405321"/>
    <w:rsid w:val="00424A92"/>
    <w:rsid w:val="0044143E"/>
    <w:rsid w:val="004803B5"/>
    <w:rsid w:val="004A049B"/>
    <w:rsid w:val="004B1944"/>
    <w:rsid w:val="00504E43"/>
    <w:rsid w:val="005145A1"/>
    <w:rsid w:val="00532DF2"/>
    <w:rsid w:val="00543F9E"/>
    <w:rsid w:val="00572BF5"/>
    <w:rsid w:val="005C6416"/>
    <w:rsid w:val="005E37E4"/>
    <w:rsid w:val="00616F3F"/>
    <w:rsid w:val="006247C4"/>
    <w:rsid w:val="006311AC"/>
    <w:rsid w:val="00656A4E"/>
    <w:rsid w:val="006B62F3"/>
    <w:rsid w:val="006E68F4"/>
    <w:rsid w:val="006F6326"/>
    <w:rsid w:val="006F6731"/>
    <w:rsid w:val="00713BCE"/>
    <w:rsid w:val="00744F53"/>
    <w:rsid w:val="007908F4"/>
    <w:rsid w:val="007D270E"/>
    <w:rsid w:val="007E56C0"/>
    <w:rsid w:val="00801BEB"/>
    <w:rsid w:val="00804BF2"/>
    <w:rsid w:val="00834D72"/>
    <w:rsid w:val="00844D21"/>
    <w:rsid w:val="00854133"/>
    <w:rsid w:val="008613FB"/>
    <w:rsid w:val="008676E5"/>
    <w:rsid w:val="0088603F"/>
    <w:rsid w:val="008900A7"/>
    <w:rsid w:val="00891B19"/>
    <w:rsid w:val="008A22C6"/>
    <w:rsid w:val="008B3EA5"/>
    <w:rsid w:val="008D1818"/>
    <w:rsid w:val="008E4629"/>
    <w:rsid w:val="009443E2"/>
    <w:rsid w:val="0095667E"/>
    <w:rsid w:val="00957BC1"/>
    <w:rsid w:val="009624AD"/>
    <w:rsid w:val="00986C99"/>
    <w:rsid w:val="00987C4B"/>
    <w:rsid w:val="009B4EA5"/>
    <w:rsid w:val="009F048F"/>
    <w:rsid w:val="009F6401"/>
    <w:rsid w:val="00A12928"/>
    <w:rsid w:val="00A31E98"/>
    <w:rsid w:val="00A46FF9"/>
    <w:rsid w:val="00A5438A"/>
    <w:rsid w:val="00A55FAA"/>
    <w:rsid w:val="00A96C08"/>
    <w:rsid w:val="00AC5899"/>
    <w:rsid w:val="00B0217A"/>
    <w:rsid w:val="00B15340"/>
    <w:rsid w:val="00B177A9"/>
    <w:rsid w:val="00B611D1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B5E4F"/>
    <w:rsid w:val="00CD4BC9"/>
    <w:rsid w:val="00CE6085"/>
    <w:rsid w:val="00D33F83"/>
    <w:rsid w:val="00D543D9"/>
    <w:rsid w:val="00D55786"/>
    <w:rsid w:val="00D82DB9"/>
    <w:rsid w:val="00D845B3"/>
    <w:rsid w:val="00DB01D4"/>
    <w:rsid w:val="00DC2E8D"/>
    <w:rsid w:val="00DD1A34"/>
    <w:rsid w:val="00DD4885"/>
    <w:rsid w:val="00DD51B2"/>
    <w:rsid w:val="00DF64C6"/>
    <w:rsid w:val="00E127E3"/>
    <w:rsid w:val="00E20A54"/>
    <w:rsid w:val="00E270E5"/>
    <w:rsid w:val="00E906F9"/>
    <w:rsid w:val="00E97F84"/>
    <w:rsid w:val="00EF56C9"/>
    <w:rsid w:val="00EF5FCC"/>
    <w:rsid w:val="00F005B2"/>
    <w:rsid w:val="00F11FD1"/>
    <w:rsid w:val="00F15481"/>
    <w:rsid w:val="00F16E5C"/>
    <w:rsid w:val="00F64579"/>
    <w:rsid w:val="00FD3A85"/>
    <w:rsid w:val="00FE7C20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A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A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Light">
    <w:name w:val="Grid Table Light"/>
    <w:basedOn w:val="TableNormal"/>
    <w:uiPriority w:val="40"/>
    <w:rsid w:val="00F1548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845B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BF2B-7713-46AC-BC19-368B7193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427A27FC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3</cp:revision>
  <cp:lastPrinted>2015-07-27T09:35:00Z</cp:lastPrinted>
  <dcterms:created xsi:type="dcterms:W3CDTF">2022-08-02T21:56:00Z</dcterms:created>
  <dcterms:modified xsi:type="dcterms:W3CDTF">2022-08-08T12:54:00Z</dcterms:modified>
</cp:coreProperties>
</file>